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0F7510B4" w:rsidR="00443C69" w:rsidRPr="006761C2" w:rsidRDefault="007016AE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7016AE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POZNAŃSKI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256B256B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6C3A7F" w:rsidRPr="006C3A7F">
              <w:t xml:space="preserve">Instytut Melioracji, Kształtowania Środowiska i Geodezji, </w:t>
            </w:r>
            <w:r w:rsidR="006C3A7F">
              <w:br/>
            </w:r>
            <w:r w:rsidR="006C3A7F" w:rsidRPr="006C3A7F">
              <w:t>Uniwersytet Przyrodniczy, ul. Piątkowska 94, 60-649 Poznań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6397E"/>
    <w:rsid w:val="00443C69"/>
    <w:rsid w:val="004E634B"/>
    <w:rsid w:val="005C2BCF"/>
    <w:rsid w:val="005E3E29"/>
    <w:rsid w:val="006761C2"/>
    <w:rsid w:val="00691DAA"/>
    <w:rsid w:val="006C3A7F"/>
    <w:rsid w:val="007016AE"/>
    <w:rsid w:val="0075354C"/>
    <w:rsid w:val="0078366C"/>
    <w:rsid w:val="008A1C8F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ED0AA4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2023-03-27T12:42:00Z</cp:lastPrinted>
  <dcterms:created xsi:type="dcterms:W3CDTF">2023-03-27T12:43:00Z</dcterms:created>
  <dcterms:modified xsi:type="dcterms:W3CDTF">2023-05-25T02:43:00Z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